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74" w:rsidRPr="00C80864" w:rsidRDefault="00763C74" w:rsidP="00C80864">
      <w:pPr>
        <w:jc w:val="center"/>
        <w:rPr>
          <w:b/>
          <w:lang w:val="es-ES"/>
        </w:rPr>
      </w:pPr>
      <w:r w:rsidRPr="00C80864">
        <w:rPr>
          <w:b/>
          <w:lang w:val="es-ES"/>
        </w:rPr>
        <w:t>COMUNICAT DE PREMSA</w:t>
      </w:r>
    </w:p>
    <w:p w:rsidR="00763C74" w:rsidRPr="00C80864" w:rsidRDefault="00763C74" w:rsidP="007301D5">
      <w:pPr>
        <w:jc w:val="center"/>
        <w:rPr>
          <w:b/>
          <w:lang w:val="es-ES"/>
        </w:rPr>
      </w:pPr>
      <w:r>
        <w:rPr>
          <w:b/>
          <w:lang w:val="es-ES"/>
        </w:rPr>
        <w:t>“</w:t>
      </w:r>
      <w:r w:rsidRPr="00C80864">
        <w:rPr>
          <w:b/>
          <w:lang w:val="es-ES"/>
        </w:rPr>
        <w:t>F</w:t>
      </w:r>
      <w:r>
        <w:rPr>
          <w:b/>
          <w:lang w:val="es-ES"/>
        </w:rPr>
        <w:t>oc al Cor, Salvem l’Empordà!”</w:t>
      </w:r>
    </w:p>
    <w:p w:rsidR="00763C74" w:rsidRDefault="00763C74" w:rsidP="00C80864">
      <w:pPr>
        <w:jc w:val="center"/>
        <w:rPr>
          <w:b/>
          <w:lang w:val="es-ES"/>
        </w:rPr>
      </w:pPr>
      <w:r>
        <w:rPr>
          <w:b/>
          <w:lang w:val="es-ES"/>
        </w:rPr>
        <w:t>Entrega d’ajuts per projectes per la restauració del territori cremat empordanès</w:t>
      </w:r>
    </w:p>
    <w:p w:rsidR="00763C74" w:rsidRDefault="00763C74" w:rsidP="00C80864">
      <w:pPr>
        <w:rPr>
          <w:b/>
          <w:lang w:val="es-ES"/>
        </w:rPr>
      </w:pPr>
    </w:p>
    <w:p w:rsidR="00763C74" w:rsidRDefault="00763C74" w:rsidP="00C80864">
      <w:pPr>
        <w:spacing w:line="360" w:lineRule="auto"/>
        <w:jc w:val="both"/>
        <w:rPr>
          <w:lang w:val="ca-ES"/>
        </w:rPr>
      </w:pPr>
      <w:r w:rsidRPr="00FA66FA">
        <w:rPr>
          <w:lang w:val="ca-ES"/>
        </w:rPr>
        <w:t xml:space="preserve">Des de la IAEDEN-Salvem l’Empordà </w:t>
      </w:r>
      <w:r>
        <w:rPr>
          <w:lang w:val="ca-ES"/>
        </w:rPr>
        <w:t>va néixer</w:t>
      </w:r>
      <w:r w:rsidRPr="00FA66FA">
        <w:rPr>
          <w:lang w:val="ca-ES"/>
        </w:rPr>
        <w:t xml:space="preserve"> la campanya “</w:t>
      </w:r>
      <w:r>
        <w:rPr>
          <w:lang w:val="ca-ES"/>
        </w:rPr>
        <w:t>F</w:t>
      </w:r>
      <w:r w:rsidRPr="00FA66FA">
        <w:rPr>
          <w:lang w:val="ca-ES"/>
        </w:rPr>
        <w:t xml:space="preserve">oc al </w:t>
      </w:r>
      <w:r>
        <w:rPr>
          <w:lang w:val="ca-ES"/>
        </w:rPr>
        <w:t>C</w:t>
      </w:r>
      <w:r w:rsidRPr="00FA66FA">
        <w:rPr>
          <w:lang w:val="ca-ES"/>
        </w:rPr>
        <w:t>or</w:t>
      </w:r>
      <w:r>
        <w:rPr>
          <w:lang w:val="ca-ES"/>
        </w:rPr>
        <w:t>, Salvem l’Empordà!</w:t>
      </w:r>
      <w:r w:rsidRPr="00FA66FA">
        <w:rPr>
          <w:lang w:val="ca-ES"/>
        </w:rPr>
        <w:t xml:space="preserve">”  en resposta a l’allau de sol.licituds i demandes que </w:t>
      </w:r>
      <w:r>
        <w:rPr>
          <w:lang w:val="ca-ES"/>
        </w:rPr>
        <w:t>es van rebre d</w:t>
      </w:r>
      <w:r w:rsidRPr="00FA66FA">
        <w:rPr>
          <w:lang w:val="ca-ES"/>
        </w:rPr>
        <w:t xml:space="preserve">esprés dels incendis de l’Alt Empordà, des de diferents sectors de la societat civil. L’objectiu principal d’aquesta campanya de recollida de diners </w:t>
      </w:r>
      <w:r>
        <w:rPr>
          <w:lang w:val="ca-ES"/>
        </w:rPr>
        <w:t xml:space="preserve">durant aquests mesos, ha estat </w:t>
      </w:r>
      <w:r w:rsidRPr="00FA66FA">
        <w:rPr>
          <w:lang w:val="ca-ES"/>
        </w:rPr>
        <w:t xml:space="preserve">potenciar, de forma ordenada i amb criteris científics i rigor, projectes que ajudin a la recuperació del territori afectat pels incendis. </w:t>
      </w:r>
      <w:r>
        <w:rPr>
          <w:lang w:val="ca-ES"/>
        </w:rPr>
        <w:t xml:space="preserve">Com ja sabeu, vam iniciar un projecte de micromecenatge a través de la plataforma Verkami, i junt amb altres donacions que s’han anat recollint, finalment, hem aconseguit reunir 13769’6 eurus (Adjuntem taula Excel amb detall dels ingressos i despeses de la campanya). Tal i com deia la convocatòria del concurs, </w:t>
      </w:r>
      <w:r w:rsidRPr="00FA66FA">
        <w:rPr>
          <w:lang w:val="ca-ES"/>
        </w:rPr>
        <w:t>un jurat qualificat i amb rigor tècnic i científic</w:t>
      </w:r>
      <w:r>
        <w:rPr>
          <w:lang w:val="ca-ES"/>
        </w:rPr>
        <w:t xml:space="preserve"> ha estudiat tots els projectes presentats, en total 17, i s’han decidit els projectes escollits i l’import atorgat en </w:t>
      </w:r>
      <w:r w:rsidRPr="00FA66FA">
        <w:rPr>
          <w:lang w:val="ca-ES"/>
        </w:rPr>
        <w:t xml:space="preserve">funció de les necessitats econòmiques, </w:t>
      </w:r>
      <w:r>
        <w:rPr>
          <w:lang w:val="ca-ES"/>
        </w:rPr>
        <w:t>la innovació, sostenibilitat</w:t>
      </w:r>
      <w:r w:rsidRPr="00FA66FA">
        <w:rPr>
          <w:lang w:val="ca-ES"/>
        </w:rPr>
        <w:t xml:space="preserve"> i viabilitat del projecte demanat.</w:t>
      </w:r>
    </w:p>
    <w:p w:rsidR="00763C74" w:rsidRDefault="00763C74" w:rsidP="00C80864">
      <w:pPr>
        <w:spacing w:line="360" w:lineRule="auto"/>
        <w:jc w:val="both"/>
        <w:rPr>
          <w:rStyle w:val="Strong"/>
          <w:lang w:val="ca-ES"/>
        </w:rPr>
      </w:pPr>
      <w:r w:rsidRPr="00FA66FA">
        <w:rPr>
          <w:lang w:val="ca-ES"/>
        </w:rPr>
        <w:t>D’aquesta manera, com a entitat naturalista i ecologista empordanesa, sense ànim de lucre</w:t>
      </w:r>
      <w:r>
        <w:rPr>
          <w:lang w:val="ca-ES"/>
        </w:rPr>
        <w:t>,</w:t>
      </w:r>
      <w:r w:rsidRPr="00FA66FA">
        <w:rPr>
          <w:lang w:val="ca-ES"/>
        </w:rPr>
        <w:t xml:space="preserve"> formada per la societat civil organitzada i basant-nos en recolzament d’experts professionals, pretenem canalitzar ajuts als qui més ho necessitin després de l’incendi.</w:t>
      </w:r>
      <w:r>
        <w:rPr>
          <w:lang w:val="ca-ES"/>
        </w:rPr>
        <w:t xml:space="preserve"> </w:t>
      </w:r>
      <w:r w:rsidRPr="00FA66FA">
        <w:rPr>
          <w:rStyle w:val="Strong"/>
          <w:lang w:val="ca-ES"/>
        </w:rPr>
        <w:t>Després d’un incendi, el territori és fr</w:t>
      </w:r>
      <w:r>
        <w:rPr>
          <w:rStyle w:val="Strong"/>
          <w:lang w:val="ca-ES"/>
        </w:rPr>
        <w:t>à</w:t>
      </w:r>
      <w:r w:rsidRPr="00FA66FA">
        <w:rPr>
          <w:rStyle w:val="Strong"/>
          <w:lang w:val="ca-ES"/>
        </w:rPr>
        <w:t xml:space="preserve">gil, i ara més que mai cal actuar sota el criteri d’experts professionals i cal sospesar bé en què es destinen els esforços i diners. </w:t>
      </w:r>
    </w:p>
    <w:p w:rsidR="00763C74" w:rsidRPr="00EA65E4" w:rsidRDefault="00763C74" w:rsidP="00C80864">
      <w:pPr>
        <w:spacing w:line="360" w:lineRule="auto"/>
        <w:jc w:val="both"/>
        <w:rPr>
          <w:rStyle w:val="Strong"/>
          <w:lang w:val="ca-ES"/>
        </w:rPr>
      </w:pPr>
      <w:r w:rsidRPr="00EA65E4">
        <w:rPr>
          <w:rStyle w:val="Strong"/>
          <w:lang w:val="ca-ES"/>
        </w:rPr>
        <w:t>Aquests són els títols dels projectes i imports que s’hi destinaran: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7"/>
        <w:gridCol w:w="2629"/>
        <w:gridCol w:w="2904"/>
      </w:tblGrid>
      <w:tr w:rsidR="00763C74" w:rsidRPr="00872129" w:rsidTr="00D8735D">
        <w:tc>
          <w:tcPr>
            <w:tcW w:w="3187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lang w:val="ca-ES"/>
              </w:rPr>
            </w:pPr>
            <w:r w:rsidRPr="00872129">
              <w:rPr>
                <w:rStyle w:val="Strong"/>
                <w:lang w:val="ca-ES"/>
              </w:rPr>
              <w:t>Títol del projecte</w:t>
            </w:r>
          </w:p>
        </w:tc>
        <w:tc>
          <w:tcPr>
            <w:tcW w:w="2629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lang w:val="ca-ES"/>
              </w:rPr>
            </w:pPr>
            <w:r w:rsidRPr="00872129">
              <w:rPr>
                <w:rStyle w:val="Strong"/>
                <w:lang w:val="ca-ES"/>
              </w:rPr>
              <w:t>Terme municipal</w:t>
            </w:r>
          </w:p>
        </w:tc>
        <w:tc>
          <w:tcPr>
            <w:tcW w:w="2904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lang w:val="ca-ES"/>
              </w:rPr>
            </w:pPr>
            <w:r w:rsidRPr="00872129">
              <w:rPr>
                <w:rStyle w:val="Strong"/>
                <w:lang w:val="ca-ES"/>
              </w:rPr>
              <w:t>Import atorgat</w:t>
            </w:r>
          </w:p>
        </w:tc>
      </w:tr>
      <w:tr w:rsidR="00763C74" w:rsidRPr="00872129" w:rsidTr="00D8735D">
        <w:tc>
          <w:tcPr>
            <w:tcW w:w="3187" w:type="dxa"/>
          </w:tcPr>
          <w:p w:rsidR="00763C74" w:rsidRPr="00872129" w:rsidRDefault="00763C74" w:rsidP="00D8735D">
            <w:pPr>
              <w:spacing w:after="0" w:line="360" w:lineRule="auto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Sol•licitud ajut al projecte de recuperació de la pel foc a "Can Bajol"</w:t>
            </w:r>
          </w:p>
        </w:tc>
        <w:tc>
          <w:tcPr>
            <w:tcW w:w="2629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Vilarnadal-Masarach</w:t>
            </w:r>
          </w:p>
        </w:tc>
        <w:tc>
          <w:tcPr>
            <w:tcW w:w="2904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1500</w:t>
            </w:r>
          </w:p>
        </w:tc>
      </w:tr>
      <w:tr w:rsidR="00763C74" w:rsidRPr="00872129" w:rsidTr="00D8735D">
        <w:tc>
          <w:tcPr>
            <w:tcW w:w="3187" w:type="dxa"/>
          </w:tcPr>
          <w:p w:rsidR="00763C74" w:rsidRPr="00872129" w:rsidRDefault="00763C74" w:rsidP="00D8735D">
            <w:pPr>
              <w:spacing w:after="0" w:line="360" w:lineRule="auto"/>
              <w:jc w:val="both"/>
              <w:rPr>
                <w:rStyle w:val="Strong"/>
                <w:b w:val="0"/>
                <w:lang w:val="ca-ES"/>
              </w:rPr>
            </w:pPr>
            <w:r w:rsidRPr="00872129">
              <w:rPr>
                <w:color w:val="000000"/>
              </w:rPr>
              <w:t>Propostes de projectes modèlics per la millora de la gestió forestal i del paisatge després de l’incendi de la Jonquera de l’any 2012 per la prevenció d’incendis forestals: pastures a àrees estratègies. Foret Mas Rajol</w:t>
            </w:r>
          </w:p>
        </w:tc>
        <w:tc>
          <w:tcPr>
            <w:tcW w:w="2629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Darnius</w:t>
            </w:r>
          </w:p>
        </w:tc>
        <w:tc>
          <w:tcPr>
            <w:tcW w:w="2904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1000</w:t>
            </w:r>
          </w:p>
        </w:tc>
      </w:tr>
      <w:tr w:rsidR="00763C74" w:rsidRPr="00872129" w:rsidTr="00D8735D">
        <w:tc>
          <w:tcPr>
            <w:tcW w:w="3187" w:type="dxa"/>
          </w:tcPr>
          <w:p w:rsidR="00763C74" w:rsidRPr="00872129" w:rsidRDefault="00763C74" w:rsidP="00D8735D">
            <w:pPr>
              <w:spacing w:after="0" w:line="360" w:lineRule="auto"/>
              <w:jc w:val="both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 xml:space="preserve">Recuperació antic oliverar de la varietat tradicional Argudell en producció ecològica, cremat l’estiu del </w:t>
            </w:r>
            <w:smartTag w:uri="urn:schemas-microsoft-com:office:smarttags" w:element="metricconverter">
              <w:smartTagPr>
                <w:attr w:name="ProductID" w:val="2012 a"/>
              </w:smartTagPr>
              <w:r w:rsidRPr="00872129">
                <w:rPr>
                  <w:rStyle w:val="Strong"/>
                  <w:b w:val="0"/>
                  <w:lang w:val="ca-ES"/>
                </w:rPr>
                <w:t>2012 a</w:t>
              </w:r>
            </w:smartTag>
            <w:r w:rsidRPr="00872129">
              <w:rPr>
                <w:rStyle w:val="Strong"/>
                <w:b w:val="0"/>
                <w:lang w:val="ca-ES"/>
              </w:rPr>
              <w:t xml:space="preserve"> Vilanant</w:t>
            </w:r>
          </w:p>
        </w:tc>
        <w:tc>
          <w:tcPr>
            <w:tcW w:w="2629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Vilanant</w:t>
            </w:r>
          </w:p>
        </w:tc>
        <w:tc>
          <w:tcPr>
            <w:tcW w:w="2904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2500</w:t>
            </w:r>
          </w:p>
        </w:tc>
      </w:tr>
      <w:tr w:rsidR="00763C74" w:rsidRPr="00872129" w:rsidTr="00D8735D">
        <w:tc>
          <w:tcPr>
            <w:tcW w:w="3187" w:type="dxa"/>
          </w:tcPr>
          <w:p w:rsidR="00763C74" w:rsidRPr="00872129" w:rsidRDefault="00763C74" w:rsidP="00D8735D">
            <w:pPr>
              <w:spacing w:after="0" w:line="360" w:lineRule="auto"/>
              <w:jc w:val="both"/>
              <w:rPr>
                <w:rStyle w:val="Strong"/>
                <w:lang w:val="ca-ES"/>
              </w:rPr>
            </w:pPr>
            <w:r w:rsidRPr="00872129">
              <w:rPr>
                <w:color w:val="000000"/>
              </w:rPr>
              <w:t>Recuperació i millora de la zona “el horts” de Biure d'Empordà</w:t>
            </w:r>
          </w:p>
        </w:tc>
        <w:tc>
          <w:tcPr>
            <w:tcW w:w="2629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Biure</w:t>
            </w:r>
          </w:p>
        </w:tc>
        <w:tc>
          <w:tcPr>
            <w:tcW w:w="2904" w:type="dxa"/>
          </w:tcPr>
          <w:p w:rsidR="00763C74" w:rsidRPr="00872129" w:rsidRDefault="00763C74" w:rsidP="00E97074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>
              <w:rPr>
                <w:rStyle w:val="Strong"/>
                <w:b w:val="0"/>
                <w:lang w:val="ca-ES"/>
              </w:rPr>
              <w:t>1000</w:t>
            </w:r>
          </w:p>
        </w:tc>
      </w:tr>
      <w:tr w:rsidR="00763C74" w:rsidRPr="00872129" w:rsidTr="00D8735D">
        <w:tc>
          <w:tcPr>
            <w:tcW w:w="3187" w:type="dxa"/>
          </w:tcPr>
          <w:p w:rsidR="00763C74" w:rsidRPr="00872129" w:rsidRDefault="00763C74" w:rsidP="00D8735D">
            <w:pPr>
              <w:spacing w:after="0" w:line="360" w:lineRule="auto"/>
              <w:jc w:val="both"/>
              <w:rPr>
                <w:rStyle w:val="Strong"/>
                <w:lang w:val="ca-ES"/>
              </w:rPr>
            </w:pPr>
            <w:r w:rsidRPr="00872129">
              <w:rPr>
                <w:color w:val="000000"/>
              </w:rPr>
              <w:t>Identificació d'àrees prioritàries per al manteniment i recuperació d'espais oberts a l'Alt Empordà.</w:t>
            </w:r>
          </w:p>
        </w:tc>
        <w:tc>
          <w:tcPr>
            <w:tcW w:w="2629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Zona afectada pel foc</w:t>
            </w:r>
          </w:p>
        </w:tc>
        <w:tc>
          <w:tcPr>
            <w:tcW w:w="2904" w:type="dxa"/>
          </w:tcPr>
          <w:p w:rsidR="00763C74" w:rsidRPr="00872129" w:rsidRDefault="00763C74" w:rsidP="00CE5E48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2</w:t>
            </w:r>
            <w:r>
              <w:rPr>
                <w:rStyle w:val="Strong"/>
                <w:b w:val="0"/>
                <w:lang w:val="ca-ES"/>
              </w:rPr>
              <w:t>269.6</w:t>
            </w:r>
          </w:p>
        </w:tc>
      </w:tr>
      <w:tr w:rsidR="00763C74" w:rsidRPr="00872129" w:rsidTr="00D8735D">
        <w:tc>
          <w:tcPr>
            <w:tcW w:w="3187" w:type="dxa"/>
          </w:tcPr>
          <w:p w:rsidR="00763C74" w:rsidRPr="00872129" w:rsidRDefault="00763C74" w:rsidP="00D8735D">
            <w:pPr>
              <w:spacing w:after="0" w:line="360" w:lineRule="auto"/>
              <w:jc w:val="both"/>
              <w:rPr>
                <w:rStyle w:val="Strong"/>
                <w:lang w:val="ca-ES"/>
              </w:rPr>
            </w:pPr>
            <w:r w:rsidRPr="00872129">
              <w:rPr>
                <w:color w:val="000000"/>
              </w:rPr>
              <w:t>El Camí de les fonts de Cantallops</w:t>
            </w:r>
          </w:p>
        </w:tc>
        <w:tc>
          <w:tcPr>
            <w:tcW w:w="2629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Cantallops</w:t>
            </w:r>
          </w:p>
        </w:tc>
        <w:tc>
          <w:tcPr>
            <w:tcW w:w="2904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1000</w:t>
            </w:r>
          </w:p>
        </w:tc>
      </w:tr>
      <w:tr w:rsidR="00763C74" w:rsidRPr="00872129" w:rsidTr="00D8735D">
        <w:tc>
          <w:tcPr>
            <w:tcW w:w="3187" w:type="dxa"/>
          </w:tcPr>
          <w:p w:rsidR="00763C74" w:rsidRPr="00872129" w:rsidRDefault="00763C74" w:rsidP="00AD414B">
            <w:pPr>
              <w:spacing w:line="360" w:lineRule="auto"/>
              <w:jc w:val="both"/>
              <w:rPr>
                <w:color w:val="000000"/>
              </w:rPr>
            </w:pPr>
            <w:r w:rsidRPr="00872129">
              <w:rPr>
                <w:color w:val="000000"/>
              </w:rPr>
              <w:t xml:space="preserve">L'Incendi de la Jonquera i la fauna: poblacions animals, funcions ecològiques i </w:t>
            </w:r>
          </w:p>
          <w:p w:rsidR="00763C74" w:rsidRPr="00872129" w:rsidRDefault="00763C74" w:rsidP="00D8735D">
            <w:pPr>
              <w:spacing w:after="0" w:line="360" w:lineRule="auto"/>
              <w:jc w:val="both"/>
              <w:rPr>
                <w:rStyle w:val="Strong"/>
                <w:lang w:val="ca-ES"/>
              </w:rPr>
            </w:pPr>
            <w:r w:rsidRPr="00872129">
              <w:rPr>
                <w:color w:val="000000"/>
              </w:rPr>
              <w:t>recomanacions de gestió</w:t>
            </w:r>
          </w:p>
        </w:tc>
        <w:tc>
          <w:tcPr>
            <w:tcW w:w="2629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Zona afectada pel foc</w:t>
            </w:r>
          </w:p>
        </w:tc>
        <w:tc>
          <w:tcPr>
            <w:tcW w:w="2904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1400</w:t>
            </w:r>
          </w:p>
        </w:tc>
      </w:tr>
      <w:tr w:rsidR="00763C74" w:rsidRPr="00872129" w:rsidTr="00D8735D">
        <w:tc>
          <w:tcPr>
            <w:tcW w:w="3187" w:type="dxa"/>
          </w:tcPr>
          <w:p w:rsidR="00763C74" w:rsidRPr="00872129" w:rsidRDefault="00763C74" w:rsidP="00D8735D">
            <w:pPr>
              <w:spacing w:after="0" w:line="360" w:lineRule="auto"/>
              <w:jc w:val="both"/>
              <w:rPr>
                <w:rStyle w:val="Strong"/>
                <w:lang w:val="ca-ES"/>
              </w:rPr>
            </w:pPr>
            <w:r w:rsidRPr="00872129">
              <w:rPr>
                <w:color w:val="000000"/>
              </w:rPr>
              <w:t>Recuperació de cinc itineraris en la zona afectada pel foc</w:t>
            </w:r>
          </w:p>
        </w:tc>
        <w:tc>
          <w:tcPr>
            <w:tcW w:w="2629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Zona afectada pel foc</w:t>
            </w:r>
          </w:p>
        </w:tc>
        <w:tc>
          <w:tcPr>
            <w:tcW w:w="2904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100</w:t>
            </w:r>
          </w:p>
        </w:tc>
      </w:tr>
      <w:tr w:rsidR="00763C74" w:rsidRPr="00EA65E4" w:rsidTr="00D8735D">
        <w:tc>
          <w:tcPr>
            <w:tcW w:w="3187" w:type="dxa"/>
          </w:tcPr>
          <w:p w:rsidR="00763C74" w:rsidRPr="00872129" w:rsidRDefault="00763C74" w:rsidP="00D8735D">
            <w:pPr>
              <w:spacing w:after="0" w:line="360" w:lineRule="auto"/>
              <w:jc w:val="both"/>
              <w:rPr>
                <w:color w:val="000000"/>
                <w:lang w:val="ca-ES"/>
              </w:rPr>
            </w:pPr>
            <w:r w:rsidRPr="00872129">
              <w:rPr>
                <w:color w:val="000000"/>
              </w:rPr>
              <w:t>MEMORIAE producció d'oli d'oliva seguin criteris de producció ecológica</w:t>
            </w:r>
          </w:p>
        </w:tc>
        <w:tc>
          <w:tcPr>
            <w:tcW w:w="2629" w:type="dxa"/>
          </w:tcPr>
          <w:p w:rsidR="00763C74" w:rsidRPr="00872129" w:rsidRDefault="00763C74" w:rsidP="00D8735D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Llers</w:t>
            </w:r>
          </w:p>
        </w:tc>
        <w:tc>
          <w:tcPr>
            <w:tcW w:w="2904" w:type="dxa"/>
          </w:tcPr>
          <w:p w:rsidR="00763C74" w:rsidRPr="00EA65E4" w:rsidRDefault="00763C74" w:rsidP="00D8735D">
            <w:pPr>
              <w:spacing w:after="0" w:line="360" w:lineRule="auto"/>
              <w:jc w:val="center"/>
              <w:rPr>
                <w:rStyle w:val="Strong"/>
                <w:b w:val="0"/>
                <w:lang w:val="ca-ES"/>
              </w:rPr>
            </w:pPr>
            <w:r w:rsidRPr="00872129">
              <w:rPr>
                <w:rStyle w:val="Strong"/>
                <w:b w:val="0"/>
                <w:lang w:val="ca-ES"/>
              </w:rPr>
              <w:t>3000</w:t>
            </w:r>
          </w:p>
        </w:tc>
      </w:tr>
    </w:tbl>
    <w:p w:rsidR="00763C74" w:rsidRPr="00EA65E4" w:rsidRDefault="00763C74" w:rsidP="00C80864">
      <w:pPr>
        <w:spacing w:line="360" w:lineRule="auto"/>
        <w:jc w:val="both"/>
        <w:rPr>
          <w:rStyle w:val="Strong"/>
          <w:lang w:val="ca-ES"/>
        </w:rPr>
      </w:pPr>
    </w:p>
    <w:p w:rsidR="00763C74" w:rsidRPr="000B42AD" w:rsidRDefault="00763C74" w:rsidP="00C80864">
      <w:pPr>
        <w:spacing w:line="360" w:lineRule="auto"/>
        <w:jc w:val="both"/>
        <w:rPr>
          <w:rStyle w:val="Strong"/>
          <w:b w:val="0"/>
          <w:lang w:val="ca-ES"/>
        </w:rPr>
      </w:pPr>
      <w:r w:rsidRPr="000B42AD">
        <w:rPr>
          <w:rStyle w:val="Strong"/>
          <w:b w:val="0"/>
          <w:lang w:val="ca-ES"/>
        </w:rPr>
        <w:t>La IAEDEN-Salvem l’Empordà, signarà un acord i farà un seguiment de les tasques compromeses a fer amb l’ajut atorgat a les diferents persones-entitats. Els criteris de selecció han estat els esmentats a la convocatòria del concurs, és a dir, s’han prioritzat els projectes que tenen en compte la prevenció d’incendis, la conservació de la biodiversitat, aspectes de sostenibilitat, millora de l’economia local, amb garanties de continuïtat, beneficis socials, i amb bones pràctiques agroambientals.</w:t>
      </w:r>
    </w:p>
    <w:p w:rsidR="00763C74" w:rsidRDefault="00763C74" w:rsidP="00C80864">
      <w:pPr>
        <w:spacing w:line="360" w:lineRule="auto"/>
        <w:jc w:val="both"/>
        <w:rPr>
          <w:rStyle w:val="Strong"/>
          <w:b w:val="0"/>
          <w:lang w:val="ca-ES"/>
        </w:rPr>
      </w:pPr>
      <w:r w:rsidRPr="000B42AD">
        <w:rPr>
          <w:rStyle w:val="Strong"/>
          <w:b w:val="0"/>
          <w:lang w:val="ca-ES"/>
        </w:rPr>
        <w:t>Si algun dels projectes no es pogués dur a terme, l’import es destinaria a altres projectes no seleccionats inicialment,</w:t>
      </w:r>
      <w:r>
        <w:rPr>
          <w:rStyle w:val="Strong"/>
          <w:b w:val="0"/>
          <w:lang w:val="ca-ES"/>
        </w:rPr>
        <w:t xml:space="preserve"> </w:t>
      </w:r>
      <w:r w:rsidRPr="000B42AD">
        <w:rPr>
          <w:rStyle w:val="Strong"/>
          <w:b w:val="0"/>
          <w:lang w:val="ca-ES"/>
        </w:rPr>
        <w:t>però amb una bona puntuació (tots els projectes han obtingut una puntuació, de manera que tenim un llistat dels projectes per ordre d’interès).</w:t>
      </w:r>
    </w:p>
    <w:p w:rsidR="00763C74" w:rsidRDefault="00763C74" w:rsidP="00EA65E4">
      <w:pPr>
        <w:spacing w:line="360" w:lineRule="auto"/>
        <w:jc w:val="both"/>
        <w:rPr>
          <w:rStyle w:val="Strong"/>
          <w:b w:val="0"/>
          <w:lang w:val="ca-ES"/>
        </w:rPr>
      </w:pPr>
      <w:r>
        <w:rPr>
          <w:rStyle w:val="Strong"/>
          <w:b w:val="0"/>
          <w:lang w:val="ca-ES"/>
        </w:rPr>
        <w:t>Tal i com hem comentat en aquest comunicat, com a mostra de transparència del procés de la campanya “Foc al Cor, Salvem l’Empordà!”, adjuntem el pressupost (despeses i ingressos) de la campanya.</w:t>
      </w:r>
    </w:p>
    <w:p w:rsidR="00763C74" w:rsidRPr="000B42AD" w:rsidRDefault="00763C74" w:rsidP="002816BE">
      <w:pPr>
        <w:spacing w:line="360" w:lineRule="auto"/>
        <w:jc w:val="both"/>
        <w:rPr>
          <w:rStyle w:val="Strong"/>
          <w:b w:val="0"/>
          <w:lang w:val="ca-ES"/>
        </w:rPr>
      </w:pPr>
      <w:r>
        <w:rPr>
          <w:rStyle w:val="Strong"/>
          <w:b w:val="0"/>
          <w:lang w:val="ca-ES"/>
        </w:rPr>
        <w:t>Finalment volem donar les gràcies a totes les persones i entitats que han col.laborat en la campanya (ja fos amb aportacions directes de diners com donant suport en altres aspectes). Així mateix, també volem agrair als 17 projectes presentats. Tot i així, la limitació de pressupost de la nostra campanya no ha permès finançar-ne més dels que hem anunciat en aquest comunicat.</w:t>
      </w:r>
    </w:p>
    <w:p w:rsidR="00763C74" w:rsidRPr="00E02C0D" w:rsidRDefault="00763C74" w:rsidP="00C80864">
      <w:pPr>
        <w:spacing w:line="360" w:lineRule="auto"/>
        <w:jc w:val="both"/>
        <w:rPr>
          <w:rStyle w:val="Strong"/>
          <w:bCs w:val="0"/>
          <w:lang w:val="ca-ES"/>
        </w:rPr>
      </w:pPr>
      <w:r w:rsidRPr="006565C5">
        <w:rPr>
          <w:rStyle w:val="Strong"/>
          <w:bCs w:val="0"/>
          <w:lang w:val="ca-ES"/>
        </w:rPr>
        <w:t>IAEDEN-Salvem l</w:t>
      </w:r>
      <w:r>
        <w:rPr>
          <w:rStyle w:val="Strong"/>
          <w:bCs w:val="0"/>
          <w:lang w:val="ca-ES"/>
        </w:rPr>
        <w:t>’</w:t>
      </w:r>
      <w:r w:rsidRPr="006565C5">
        <w:rPr>
          <w:rStyle w:val="Strong"/>
          <w:bCs w:val="0"/>
          <w:lang w:val="ca-ES"/>
        </w:rPr>
        <w:t>Empordà</w:t>
      </w:r>
    </w:p>
    <w:p w:rsidR="00763C74" w:rsidRPr="00C80864" w:rsidRDefault="00763C74" w:rsidP="003536D2">
      <w:pPr>
        <w:spacing w:line="360" w:lineRule="auto"/>
        <w:jc w:val="both"/>
        <w:rPr>
          <w:lang w:val="es-ES"/>
        </w:rPr>
      </w:pPr>
      <w:r w:rsidRPr="006565C5">
        <w:rPr>
          <w:rStyle w:val="Strong"/>
          <w:bCs w:val="0"/>
          <w:lang w:val="ca-ES"/>
        </w:rPr>
        <w:t>15 de desembre de 2012</w:t>
      </w:r>
    </w:p>
    <w:sectPr w:rsidR="00763C74" w:rsidRPr="00C80864" w:rsidSect="003536D2">
      <w:pgSz w:w="11906" w:h="16838"/>
      <w:pgMar w:top="540" w:right="1286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864"/>
    <w:rsid w:val="000B42AD"/>
    <w:rsid w:val="000F0E82"/>
    <w:rsid w:val="00152C4A"/>
    <w:rsid w:val="00182BB5"/>
    <w:rsid w:val="001A22ED"/>
    <w:rsid w:val="002816BE"/>
    <w:rsid w:val="002A4EB3"/>
    <w:rsid w:val="002C5D25"/>
    <w:rsid w:val="003536D2"/>
    <w:rsid w:val="006565C5"/>
    <w:rsid w:val="006663FB"/>
    <w:rsid w:val="007301D5"/>
    <w:rsid w:val="00763C74"/>
    <w:rsid w:val="007E5325"/>
    <w:rsid w:val="00811FA6"/>
    <w:rsid w:val="00872129"/>
    <w:rsid w:val="009057BC"/>
    <w:rsid w:val="00A26CFE"/>
    <w:rsid w:val="00A51A87"/>
    <w:rsid w:val="00AD414B"/>
    <w:rsid w:val="00B56AAF"/>
    <w:rsid w:val="00C50BA8"/>
    <w:rsid w:val="00C51716"/>
    <w:rsid w:val="00C80864"/>
    <w:rsid w:val="00CA14DE"/>
    <w:rsid w:val="00CC5B63"/>
    <w:rsid w:val="00CE5E48"/>
    <w:rsid w:val="00D8735D"/>
    <w:rsid w:val="00E02C0D"/>
    <w:rsid w:val="00E650B5"/>
    <w:rsid w:val="00E97074"/>
    <w:rsid w:val="00EA65E4"/>
    <w:rsid w:val="00FA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FB"/>
    <w:pPr>
      <w:spacing w:after="200" w:line="276" w:lineRule="auto"/>
    </w:pPr>
    <w:rPr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80864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1A22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0B42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4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B42AD"/>
    <w:rPr>
      <w:rFonts w:cs="Times New Roman"/>
      <w:sz w:val="20"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B42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B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2AD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621</Words>
  <Characters>3541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 </cp:lastModifiedBy>
  <cp:revision>4</cp:revision>
  <dcterms:created xsi:type="dcterms:W3CDTF">2012-12-13T16:31:00Z</dcterms:created>
  <dcterms:modified xsi:type="dcterms:W3CDTF">2012-12-17T18:44:00Z</dcterms:modified>
</cp:coreProperties>
</file>